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3B14" w14:textId="4B170B82" w:rsidR="00E1152F" w:rsidRPr="00E1152F" w:rsidRDefault="00E1152F" w:rsidP="00E1152F">
      <w:pPr>
        <w:spacing w:after="0" w:line="200" w:lineRule="atLeast"/>
        <w:ind w:firstLine="567"/>
        <w:jc w:val="both"/>
        <w:rPr>
          <w:rStyle w:val="FontStyle26"/>
          <w:sz w:val="24"/>
          <w:szCs w:val="24"/>
        </w:rPr>
      </w:pPr>
      <w:r>
        <w:rPr>
          <w:rFonts w:ascii="Times New Roman" w:hAnsi="Times New Roman" w:cs="Times New Roman"/>
          <w:sz w:val="24"/>
          <w:szCs w:val="24"/>
        </w:rPr>
        <w:t xml:space="preserve">Рабочая программа по английскому языку составлена на основе федерального государственного образовательного стандарта, учебного плана, примерной программы основного общего образования по иностранному языку,  авторской программы Афанасьевой О.В., Михеевой И.В., Языковой Н.В «Английский язык как второй иностранный». 5-9 классы: М.: Дрофа, 2017 и с учетом положений Федерального компонента государственного стандарта общего образования в общеобразовательных учреждениях. </w:t>
      </w:r>
    </w:p>
    <w:p w14:paraId="5E3852E9" w14:textId="3A321C33" w:rsidR="00E1152F" w:rsidRPr="00E1152F" w:rsidRDefault="00E1152F" w:rsidP="00E1152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в первую очередь на деятельностный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14:paraId="31D19CCC"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соответствии с государственным стандартом основного общего образования изучение иностранного языка в основной школе направлено на </w:t>
      </w:r>
      <w:r>
        <w:rPr>
          <w:rFonts w:ascii="Times New Roman" w:eastAsiaTheme="minorHAnsi" w:hAnsi="Times New Roman" w:cs="Times New Roman"/>
          <w:b/>
          <w:bCs/>
          <w:sz w:val="24"/>
          <w:szCs w:val="24"/>
        </w:rPr>
        <w:t>формирование и развитие коммуникативной компетенции</w:t>
      </w:r>
      <w:r>
        <w:rPr>
          <w:rFonts w:ascii="Times New Roman" w:eastAsiaTheme="minorHAnsi" w:hAnsi="Times New Roman" w:cs="Times New Roman"/>
          <w:sz w:val="24"/>
          <w:szCs w:val="24"/>
        </w:rPr>
        <w:t>,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
    <w:p w14:paraId="51790404"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письменной речи). Она формируется под влиянием аналогичных компетенций в родном и первом иностранном языках. Чтобы уменьшить влияние такого явления, как интерференция, следует использовать текстовый подход — построение высказываний по моделям не изолированных предложений, а текстов.</w:t>
      </w:r>
    </w:p>
    <w:p w14:paraId="2A9BF95A"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Языковая компетенция </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14:paraId="3CB9BAC0"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Социокультурная компетенция </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готовность и способность учащихся строить свое межкультурное общение на основе знания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 Цели, связанные с формированием социокультурной компетенции во втором иностранном языке, следует ставить в терминах воспитательной ценности культурного аспекта. Путями реализации последнего являются: использование коммуникативного подхода, аутентичных материалов, а также культурно маркированных материалов.</w:t>
      </w:r>
    </w:p>
    <w:p w14:paraId="3C3E3569"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Это когнитивная способность, позволяющая решать конкретные проблемы общения.</w:t>
      </w:r>
    </w:p>
    <w:p w14:paraId="3993D8EF"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Учебно-познавательная компетенция </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14:paraId="77F60FDA" w14:textId="77777777" w:rsidR="00E1152F" w:rsidRDefault="00E1152F" w:rsidP="00E1152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Образовательная, развивающая и воспитательная цели обучения английскому языку в данных УМК реализуются в процессе формирования, совершенствования и развития коммуникативной компетенции в единстве ее составляющих.</w:t>
      </w:r>
    </w:p>
    <w:p w14:paraId="04266275" w14:textId="2F709144" w:rsidR="00E1152F" w:rsidRDefault="00E1152F" w:rsidP="00E1152F"/>
    <w:sectPr w:rsidR="00E1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2F"/>
    <w:rsid w:val="00E1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E8B0"/>
  <w15:chartTrackingRefBased/>
  <w15:docId w15:val="{E50DE9D0-B14E-425A-8B42-970B8FF7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52F"/>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1152F"/>
    <w:pPr>
      <w:widowControl w:val="0"/>
      <w:tabs>
        <w:tab w:val="left" w:pos="708"/>
      </w:tabs>
      <w:suppressAutoHyphens/>
      <w:spacing w:after="0" w:line="290" w:lineRule="exact"/>
      <w:ind w:firstLine="514"/>
      <w:jc w:val="both"/>
    </w:pPr>
    <w:rPr>
      <w:rFonts w:ascii="Times New Roman" w:eastAsia="Times New Roman" w:hAnsi="Times New Roman" w:cs="Times New Roman"/>
      <w:color w:val="00000A"/>
      <w:sz w:val="24"/>
      <w:szCs w:val="24"/>
      <w:lang w:eastAsia="ru-RU"/>
    </w:rPr>
  </w:style>
  <w:style w:type="character" w:customStyle="1" w:styleId="FontStyle26">
    <w:name w:val="Font Style26"/>
    <w:rsid w:val="00E1152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2024-01-21T12:44:00Z</dcterms:created>
  <dcterms:modified xsi:type="dcterms:W3CDTF">2024-01-21T12:46:00Z</dcterms:modified>
</cp:coreProperties>
</file>